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Положение </w:t>
      </w:r>
    </w:p>
    <w:p>
      <w:pPr>
        <w:pStyle w:val="NormalWeb"/>
        <w:shd w:val="clear" w:color="auto" w:fill="FFFFFF"/>
        <w:spacing w:before="0" w:after="0"/>
        <w:jc w:val="center"/>
        <w:rPr/>
      </w:pPr>
      <w:r>
        <w:rPr>
          <w:rFonts w:cs="Arial" w:ascii="Arial" w:hAnsi="Arial"/>
          <w:b/>
          <w:bCs/>
          <w:sz w:val="28"/>
          <w:szCs w:val="28"/>
          <w:lang w:val="en-US"/>
        </w:rPr>
        <w:t>III</w:t>
      </w:r>
      <w:r>
        <w:rPr>
          <w:rFonts w:cs="Arial" w:ascii="Arial" w:hAnsi="Arial"/>
          <w:b/>
          <w:bCs/>
          <w:sz w:val="28"/>
          <w:szCs w:val="28"/>
        </w:rPr>
        <w:t xml:space="preserve"> Областного конкурса социальных рекламных проектов</w:t>
      </w:r>
    </w:p>
    <w:p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«Шагать по жизни здорово»</w:t>
      </w:r>
    </w:p>
    <w:p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1. Основные положения</w:t>
      </w:r>
    </w:p>
    <w:p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 II</w:t>
      </w:r>
      <w:r>
        <w:rPr>
          <w:rFonts w:cs="Arial" w:ascii="Arial" w:hAnsi="Arial"/>
          <w:sz w:val="28"/>
          <w:szCs w:val="28"/>
          <w:lang w:val="en-US"/>
        </w:rPr>
        <w:t>I</w:t>
      </w:r>
      <w:r>
        <w:rPr>
          <w:rFonts w:cs="Arial" w:ascii="Arial" w:hAnsi="Arial"/>
          <w:sz w:val="28"/>
          <w:szCs w:val="28"/>
        </w:rPr>
        <w:t xml:space="preserve"> Областной конкурс социальных рекламных проектов  «Шагать по жизни здорово» (далее – Конкурс) проводится в рамках межведомственного сотрудничества реализации региональной целевой программы «Формирование здорового образа жизни и профилактика неинфекционных заболеваний населения в Тюменской области на 2018 - 2025 годы», утвержденной распоряжением Правительства Тюменской области от 17.05.2018 № 558-рп.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 Настоящее Положение регламентирует статус и порядок проведения Конкурса, требования к участникам и работам, порядок их предоставления, сроки проведения Конкурса и действует до завершения конкурсных мероприятий.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1.3. Координатором Конкурса выступает Департамент здравоохранения Тюменской области (ГАУЗ ТО «Областной центр медицинской профилактики, лечебной физкультуры и спортивной медицины»).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 Конкурс проводится с целью пропаганды активного и здорового образа жизни, (далее – ЗОЖ) и формирования в подростковой и молодежной среде моды на ЗОЖ.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2. Цели конкурса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2.1. Цели: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 </w:t>
      </w:r>
      <w:r>
        <w:rPr>
          <w:rFonts w:cs="Arial" w:ascii="Arial" w:hAnsi="Arial"/>
          <w:sz w:val="28"/>
          <w:szCs w:val="28"/>
        </w:rPr>
        <w:t>вовлечение молодежи в сферу социального творчества;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содействие формированию мировоззрения, основанного на понятии ценностей человеческого существования, указывающего на ответственное отношение к своему здоровью, ведение здорового образа жизни, формирование здоровьесберегающей среды в семье и обществе;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развитие творческих инициатив молодежи;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активизация гражданской позиции;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вовлечение молодежи в сферу социального творчества, нравственного и гражданского воспитания;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популяризация социальной рекламы, как неотъемлемого этапа воспитания молодежи, мотивации к ведению здорового образа жизни.</w:t>
      </w:r>
    </w:p>
    <w:p>
      <w:pPr>
        <w:pStyle w:val="NormalWeb"/>
        <w:shd w:val="clear" w:color="auto" w:fill="FFFFFF"/>
        <w:spacing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3. Условия участия и требования к конкурсным работам</w:t>
      </w:r>
    </w:p>
    <w:p>
      <w:pPr>
        <w:pStyle w:val="NormalWeb"/>
        <w:shd w:val="clear" w:color="auto" w:fill="FFFFFF"/>
        <w:spacing w:before="0" w:after="0"/>
        <w:ind w:firstLine="42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3.1. В конкурсе имеют право принимать участие молодые люди (отдельные авторы и авторские коллективы), предоставившие все работы в соответствии с условиями Конкурса.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 xml:space="preserve">3.2. Для участия в Конкурсе необходимо подготовить рекламный материал социального характера по установленным организаторами Конкурса </w:t>
      </w:r>
      <w:r>
        <w:rPr>
          <w:rFonts w:cs="Arial" w:ascii="Arial" w:hAnsi="Arial"/>
          <w:b/>
          <w:sz w:val="28"/>
          <w:szCs w:val="28"/>
        </w:rPr>
        <w:t>номинациям</w:t>
      </w:r>
      <w:r>
        <w:rPr>
          <w:rFonts w:cs="Arial" w:ascii="Arial" w:hAnsi="Arial"/>
          <w:sz w:val="28"/>
          <w:szCs w:val="28"/>
        </w:rPr>
        <w:t>, отвечающим целям и задачам Конкурса: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«Лучшая страница ЗОЖ на сайте образовательного учреждения»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«Лучший социальный видеоролик»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 xml:space="preserve">«Лучшая листовка»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«Лучший плакат».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 xml:space="preserve">Для номинаций  «Лучший социальный видеоролик», «Лучшая листовка», «Лучший плакат» конкурс проводится </w:t>
      </w:r>
      <w:r>
        <w:rPr>
          <w:rFonts w:cs="Arial" w:ascii="Arial" w:hAnsi="Arial"/>
          <w:b/>
          <w:sz w:val="28"/>
          <w:szCs w:val="28"/>
        </w:rPr>
        <w:t>по тематикам</w:t>
      </w:r>
      <w:r>
        <w:rPr>
          <w:rFonts w:cs="Arial" w:ascii="Arial" w:hAnsi="Arial"/>
          <w:sz w:val="28"/>
          <w:szCs w:val="28"/>
        </w:rPr>
        <w:t>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b/>
          <w:sz w:val="28"/>
          <w:szCs w:val="28"/>
        </w:rPr>
        <w:t>– «Жизнь в движении!»;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>– «Здоровое питание»;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>– «Я прививок не боюсь!»;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>– «Вредным привычкам – бой!»;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>– «Здоровая семейная привычка»;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«Новый тренд – ЗОЖ».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3.3. Участие в конкурсе осуществляется на безвозмездной основе.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 xml:space="preserve">3.4. Конкурс проводится </w:t>
      </w:r>
      <w:r>
        <w:rPr>
          <w:rFonts w:cs="Arial" w:ascii="Arial" w:hAnsi="Arial"/>
          <w:b/>
          <w:sz w:val="28"/>
          <w:szCs w:val="28"/>
        </w:rPr>
        <w:t>в 3-х возрастных категориях: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учащиеся высших учебных заведений;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учащиеся средних профессиональных учреждений;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– </w:t>
      </w:r>
      <w:r>
        <w:rPr>
          <w:rFonts w:cs="Arial" w:ascii="Arial" w:hAnsi="Arial"/>
          <w:b/>
          <w:sz w:val="28"/>
          <w:szCs w:val="28"/>
        </w:rPr>
        <w:t>школьники.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каждой из категорий будут определены два победителя: коллективная работа, индивидуальная работа.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3.5. </w:t>
        <w:tab/>
        <w:t>Технические требования к работам: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b/>
          <w:sz w:val="28"/>
          <w:szCs w:val="28"/>
        </w:rPr>
        <w:t>Социальный видеоролик</w:t>
      </w:r>
      <w:r>
        <w:rPr>
          <w:rFonts w:cs="Arial" w:ascii="Arial" w:hAnsi="Arial"/>
          <w:sz w:val="28"/>
          <w:szCs w:val="28"/>
        </w:rPr>
        <w:t xml:space="preserve"> – в формате AVI, хронометраж не более 120 секунд (каждый ролик). В начале ролика должна быть указана следующая информация: название Конкурса, название конкурсной работы. Обязательная пометка на протяжении всего ролика по ограничению возрастной категории (0+,6+, 14+, 16+, и так далее).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b/>
          <w:sz w:val="28"/>
          <w:szCs w:val="28"/>
        </w:rPr>
        <w:t xml:space="preserve">Листовка </w:t>
      </w:r>
      <w:r>
        <w:rPr>
          <w:rFonts w:cs="Arial" w:ascii="Arial" w:hAnsi="Arial"/>
          <w:sz w:val="28"/>
          <w:szCs w:val="28"/>
        </w:rPr>
        <w:t xml:space="preserve">– изображение (формата </w:t>
      </w:r>
      <w:r>
        <w:rPr>
          <w:rFonts w:cs="Arial" w:ascii="Arial" w:hAnsi="Arial"/>
          <w:sz w:val="28"/>
          <w:szCs w:val="28"/>
          <w:lang w:val="en-US"/>
        </w:rPr>
        <w:t>jpg</w:t>
      </w:r>
      <w:r>
        <w:rPr>
          <w:rFonts w:cs="Arial" w:ascii="Arial" w:hAnsi="Arial"/>
          <w:sz w:val="28"/>
          <w:szCs w:val="28"/>
        </w:rPr>
        <w:t xml:space="preserve">) с текстом агитационного или информационного характера, формата А4-А5. Листовка может быть представлена в виде мини-сочинения (эссе) и красочно оформлена.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b/>
          <w:sz w:val="28"/>
          <w:szCs w:val="28"/>
        </w:rPr>
        <w:t>Плакат</w:t>
      </w:r>
      <w:r>
        <w:rPr>
          <w:rFonts w:cs="Arial" w:ascii="Arial" w:hAnsi="Arial"/>
          <w:sz w:val="28"/>
          <w:szCs w:val="28"/>
        </w:rPr>
        <w:t xml:space="preserve"> – на конкурс принимаются плакаты в формате </w:t>
      </w:r>
      <w:r>
        <w:rPr>
          <w:rFonts w:cs="Arial" w:ascii="Arial" w:hAnsi="Arial"/>
          <w:sz w:val="28"/>
          <w:szCs w:val="28"/>
          <w:lang w:val="en-US"/>
        </w:rPr>
        <w:t>jpg</w:t>
      </w:r>
      <w:r>
        <w:rPr>
          <w:rFonts w:cs="Arial" w:ascii="Arial" w:hAnsi="Arial"/>
          <w:sz w:val="28"/>
          <w:szCs w:val="28"/>
        </w:rPr>
        <w:t xml:space="preserve">, А4, выполненные в любой технике (гуашь, компьютерная графика, фото коллаж, смешанная техника).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b/>
          <w:sz w:val="28"/>
          <w:szCs w:val="28"/>
        </w:rPr>
        <w:t>Страница ЗОЖ на сайте образовательного учреждения</w:t>
      </w:r>
      <w:r>
        <w:rPr>
          <w:rFonts w:cs="Arial" w:ascii="Arial" w:hAnsi="Arial"/>
          <w:sz w:val="28"/>
          <w:szCs w:val="28"/>
        </w:rPr>
        <w:t xml:space="preserve"> – страница будет оцениваться жюри в режиме реального времени. Для участия необходимо указать в Заявке на участие в конкурсе адрес страницы в сети Интернет. Основные требования к странице: соответствие информации, размещенной на странице и подстраницах тематике Конкурса, использование различных видов контента (фото, видеоматериалы, баннеры, инфографика, текстовые материалы и т.д.).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3.6. Предоставляемые на Конкурс работы должны отвечать следующим требованиям при создании социальной рекламы: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13.03.2006 №38-ФЗ «О рекламе», Федеральный закон «Об охране здоровья граждан от воздействия окружающего табачного дыма и последствий потребления табака» от 23.02.2013 N 15-ФЗ);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текст рекламы должен быть кратким, лаконичным, оригинальным;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 xml:space="preserve">наличие в рекламе эмоциональной окраски, носителями которой являются цвет, свет, шрифт, рисунок, графические элементы и т.п.;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отсутствие в рекламе сведений, не соответствующих действительности (недостоверных сведений);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соответствие тематике Конкурса.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Под понятием «социальный рекламный проект» организаторы Конкурса понимают информацию, направленную на решение острых социальных проблем, наиболее волнующих молодежь, а также на достижение благотворительных и иных общественно-полезных целей, представленную, в виде комплексного сочетания различных видов рекламной продукции (или нескольких вариантов одного вида), который впоследствии может стать основой информационной и рекламной кампании по пропаганде ЗОЖ на территории муниципального образования, Тюменской области.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3.7. </w:t>
        <w:tab/>
        <w:t>В работах, представляемых на Конкурс, не должно быть: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 xml:space="preserve">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самоуправления;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изображений: интимных сцен, информации в любой форме унижающей достоинство человека или группы людей.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3.8. </w:t>
        <w:tab/>
        <w:t>К участию в Конкурсе допускаются поданные в срок работы, содержание которых соответствует утвержденным номинациям или тематикам Конкурса в соответствии с настоящим Положением.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3.9.</w:t>
        <w:tab/>
        <w:t>Работы, представленные с нарушением условий настоящего Положения, не рассматриваются.</w:t>
      </w:r>
    </w:p>
    <w:p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4. Сроки и порядок проведения конкурса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4.1.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Конкурс проводится с 1 октября 2018 года по 3 декабря 2018 года.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4.2.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bCs/>
          <w:sz w:val="28"/>
          <w:szCs w:val="28"/>
          <w:lang w:eastAsia="ru-RU"/>
        </w:rPr>
        <w:t xml:space="preserve">Конкурсные работы с заявками принимаются до 19 ноября 2018 года 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на электронную почту </w:t>
      </w:r>
      <w:r>
        <w:rPr>
          <w:rStyle w:val="Style15"/>
          <w:rFonts w:eastAsia="Times New Roman" w:cs="Arial" w:ascii="Arial" w:hAnsi="Arial"/>
          <w:sz w:val="28"/>
          <w:szCs w:val="28"/>
          <w:lang w:val="en-US" w:eastAsia="ru-RU"/>
        </w:rPr>
        <w:t>PLR</w:t>
      </w:r>
      <w:hyperlink r:id="rId2">
        <w:r>
          <w:rPr>
            <w:rStyle w:val="Style15"/>
            <w:rFonts w:eastAsia="Times New Roman" w:cs="Arial" w:ascii="Arial" w:hAnsi="Arial"/>
            <w:sz w:val="28"/>
            <w:szCs w:val="28"/>
            <w:lang w:eastAsia="ru-RU"/>
          </w:rPr>
          <w:t>@</w:t>
        </w:r>
      </w:hyperlink>
      <w:hyperlink r:id="rId3">
        <w:r>
          <w:rPr>
            <w:rStyle w:val="Style15"/>
            <w:rFonts w:eastAsia="Times New Roman" w:cs="Arial" w:ascii="Arial" w:hAnsi="Arial"/>
            <w:sz w:val="28"/>
            <w:szCs w:val="28"/>
            <w:lang w:val="en-US" w:eastAsia="ru-RU"/>
          </w:rPr>
          <w:t>cmpto</w:t>
        </w:r>
      </w:hyperlink>
      <w:hyperlink r:id="rId4">
        <w:r>
          <w:rPr>
            <w:rStyle w:val="Style15"/>
            <w:rFonts w:eastAsia="Times New Roman" w:cs="Arial" w:ascii="Arial" w:hAnsi="Arial"/>
            <w:sz w:val="28"/>
            <w:szCs w:val="28"/>
            <w:lang w:eastAsia="ru-RU"/>
          </w:rPr>
          <w:t>.</w:t>
        </w:r>
      </w:hyperlink>
      <w:hyperlink r:id="rId5">
        <w:r>
          <w:rPr>
            <w:rStyle w:val="Style15"/>
            <w:rFonts w:eastAsia="Times New Roman" w:cs="Arial" w:ascii="Arial" w:hAnsi="Arial"/>
            <w:sz w:val="28"/>
            <w:szCs w:val="28"/>
            <w:lang w:val="en-US" w:eastAsia="ru-RU"/>
          </w:rPr>
          <w:t>ru</w:t>
        </w:r>
      </w:hyperlink>
      <w:r>
        <w:rPr>
          <w:rFonts w:eastAsia="Times New Roman" w:cs="Arial" w:ascii="Arial" w:hAnsi="Arial"/>
          <w:sz w:val="28"/>
          <w:szCs w:val="28"/>
          <w:lang w:eastAsia="ru-RU"/>
        </w:rPr>
        <w:t>, с приложением Заявки (Приложение 1).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 Заполнение и предоставление Согласия на обработку персональных данных (Приложение 2) обязательно.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4.3</w:t>
      </w:r>
      <w:r>
        <w:rPr>
          <w:rFonts w:eastAsia="Times New Roman" w:cs="Arial" w:ascii="Arial" w:hAnsi="Arial"/>
          <w:sz w:val="28"/>
          <w:szCs w:val="28"/>
          <w:lang w:eastAsia="ru-RU"/>
        </w:rPr>
        <w:t>.  Конкурсные работы не рецензируются.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4.4.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Просмотр работ состоится не позднее 5 ноября 2018 года.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4.5.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 Награждение всех участников будет проходить в торжественной обстановке, о дате, времени и месте проведения участники будут проинформированы заранее. 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  <w:t>4.6 Награждение пройдет по номинациям: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1.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«Лучший социальный видеоролик»</w:t>
      </w:r>
      <w:r>
        <w:rPr>
          <w:rFonts w:cs="Arial" w:ascii="Arial" w:hAnsi="Arial"/>
          <w:sz w:val="28"/>
          <w:szCs w:val="28"/>
        </w:rPr>
        <w:t xml:space="preserve"> –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в 3-х</w:t>
      </w:r>
      <w:r>
        <w:rPr>
          <w:rFonts w:cs="Arial" w:ascii="Arial" w:hAnsi="Arial"/>
          <w:sz w:val="28"/>
          <w:szCs w:val="28"/>
        </w:rPr>
        <w:t xml:space="preserve"> возрастных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категориях по тематикам,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 xml:space="preserve">2. </w:t>
      </w:r>
      <w:r>
        <w:rPr>
          <w:rFonts w:cs="Arial" w:ascii="Arial" w:hAnsi="Arial"/>
          <w:b/>
          <w:sz w:val="28"/>
          <w:szCs w:val="28"/>
        </w:rPr>
        <w:t>«Лучшая листовка»</w:t>
      </w:r>
      <w:r>
        <w:rPr>
          <w:rFonts w:cs="Arial" w:ascii="Arial" w:hAnsi="Arial"/>
          <w:sz w:val="28"/>
          <w:szCs w:val="28"/>
        </w:rPr>
        <w:t xml:space="preserve"> – в 3-х возрастных категориях по тематикам,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 xml:space="preserve">3. </w:t>
      </w:r>
      <w:r>
        <w:rPr>
          <w:rFonts w:cs="Arial" w:ascii="Arial" w:hAnsi="Arial"/>
          <w:b/>
          <w:sz w:val="28"/>
          <w:szCs w:val="28"/>
        </w:rPr>
        <w:t>«Лучший плакат»</w:t>
      </w:r>
      <w:r>
        <w:rPr>
          <w:rFonts w:cs="Arial" w:ascii="Arial" w:hAnsi="Arial"/>
          <w:sz w:val="28"/>
          <w:szCs w:val="28"/>
        </w:rPr>
        <w:t xml:space="preserve"> – в 3-х возрастных категориях по тематикам,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>4. </w:t>
      </w:r>
      <w:r>
        <w:rPr>
          <w:rFonts w:cs="Arial" w:ascii="Arial" w:hAnsi="Arial"/>
          <w:b/>
          <w:sz w:val="28"/>
          <w:szCs w:val="28"/>
        </w:rPr>
        <w:t>«Лучшая страница ЗОЖ на сайте образовательного учреждения»</w:t>
      </w:r>
      <w:r>
        <w:rPr>
          <w:rFonts w:cs="Arial" w:ascii="Arial" w:hAnsi="Arial"/>
          <w:sz w:val="28"/>
          <w:szCs w:val="28"/>
        </w:rPr>
        <w:t xml:space="preserve"> - в 3-х возрастных категориях.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5. Порядок формирования жюри</w:t>
      </w:r>
    </w:p>
    <w:p>
      <w:pPr>
        <w:pStyle w:val="NormalWeb"/>
        <w:shd w:val="clear" w:color="auto" w:fill="FFFFFF"/>
        <w:spacing w:before="0" w:after="0"/>
        <w:ind w:firstLine="42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5.1. Жюри конкурса формируется из представителей Департамента здравоохранения Тюменской области, Департамента здравоохранения Администрации г. Тюмени, Департамента по общественным связям, коммуникациям и молодежной политике Тюменской области, Департамента физической культуры, спорта и дополнительного образования Тюменской области, Департамента образования и науки Тюменской области, Департамента культуры Тюменской области, Департамента социального развития Тюменской области, Управление Федеральной службы по надзору в сфере защиты прав потребителей и благополучия человека по Тюменской области, Тюменской Областной Думы, </w:t>
      </w:r>
      <w:r>
        <w:rPr>
          <w:rFonts w:cs="Arial" w:ascii="Arial" w:hAnsi="Arial"/>
          <w:color w:val="000000"/>
          <w:sz w:val="28"/>
          <w:szCs w:val="28"/>
        </w:rPr>
        <w:t>Общественного совета при Департаменте здравоохранения Тюменской области, компетентных специалистов в области рекламы и культуры.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5.2. Каждая конкурсная работа оценивается по следующим критериям: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 xml:space="preserve">соответствие работы заявленной теме Конкурса и поставленным задачам;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социальная значимость;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 xml:space="preserve">позитивность и креативность (новизна идеи, отсутствие плагиата, оригинальность, гибкость мышления) конкурсной работы;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cs="Arial" w:ascii="Arial" w:hAnsi="Arial"/>
          <w:sz w:val="28"/>
          <w:szCs w:val="28"/>
        </w:rPr>
        <w:t>точность и доходчивость языка и стиля изложения.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6. Подведение итогов и награждение участников Конкурса</w:t>
      </w:r>
    </w:p>
    <w:p>
      <w:pPr>
        <w:pStyle w:val="NormalWeb"/>
        <w:shd w:val="clear" w:color="auto" w:fill="FFFFFF"/>
        <w:spacing w:before="0" w:after="0"/>
        <w:ind w:firstLine="426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6.1 Жюри подводит итоги Конкурса коллегиально. Состав жюри представлен в Приложении 3.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>6.2  Оценку представленных работ и принятие решения о присуждении победителей и призёров Конкурса осуществляет жюри по десятибалльной системе. При оценке работы по каждому критерию начисляется от 0 до 10 баллов. Максимальный балл начисляется в случае полного соответствия рисунка критериям. В случае неполного соответствия рисунка критерию, баллы начисляются в зависимости от степени соответствия. Набранные баллы по каждому критерию суммируются.</w:t>
      </w:r>
      <w:r>
        <w:rPr/>
        <w:t xml:space="preserve"> </w:t>
      </w:r>
      <w:r>
        <w:rPr>
          <w:rFonts w:cs="Arial" w:ascii="Arial" w:hAnsi="Arial"/>
          <w:sz w:val="28"/>
          <w:szCs w:val="28"/>
        </w:rPr>
        <w:t>В случае набора равного количества баллов несколькими участниками конкурса победитель, занявший 1 место, определяется открытым голосованием членов жюри простым большинством голосов.</w:t>
      </w:r>
      <w:r>
        <w:rPr/>
        <w:t xml:space="preserve"> 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6.3 Жюри Конкурса в каждой номинации (коллективная работа, индивидуальная) определяет участника, набравшего наибольшее количество баллов – занявшего 1 место, а также участников занявших 2, 3 места при наличии 6 и более заявок, 1, 2 места – при наличии 4 и 5 заявок, при наличии 3 и менее заявок определяется одно место. При наличии малого количества участников Конкурса в той или иной номинации и в зависимости от качества работ по решению жюри первые места могут не присуждаться.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6.4 Победители в каждой номинации награждаются дипломами победителей с указанием занятого места, участники – дипломами участника. Победителям вручаются памятные подарки.</w:t>
      </w:r>
    </w:p>
    <w:p>
      <w:pPr>
        <w:pStyle w:val="NormalWeb"/>
        <w:shd w:val="clear" w:color="auto" w:fill="FFFFFF"/>
        <w:spacing w:before="0"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7. Использование конкурсных работ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center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  <w:t xml:space="preserve">7.1. Работы победителей получают организационную, информационную поддержку, рекомендуются для практической реализации на территории Тюменской области и могут быть использованы с целью: 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 xml:space="preserve">– 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размещения в СМИ (телевидение, печатная пресса, интернет); 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>–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sz w:val="28"/>
          <w:szCs w:val="28"/>
          <w:lang w:eastAsia="ru-RU"/>
        </w:rPr>
        <w:t>использования в других конкурсах окружного и областных уровней;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>–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sz w:val="28"/>
          <w:szCs w:val="28"/>
          <w:lang w:eastAsia="ru-RU"/>
        </w:rPr>
        <w:t>проведения социальных информационных и рекламных кампаний на территории Тюменской области;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>–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sz w:val="28"/>
          <w:szCs w:val="28"/>
          <w:lang w:eastAsia="ru-RU"/>
        </w:rPr>
        <w:t>размещения на портале «Тюменская область – Территория здоровья»;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cs="Arial" w:ascii="Arial" w:hAnsi="Arial"/>
          <w:sz w:val="28"/>
          <w:szCs w:val="28"/>
        </w:rPr>
        <w:t>–</w:t>
      </w:r>
      <w:r>
        <w:rPr>
          <w:rFonts w:eastAsia="Times New Roman" w:cs="Arial" w:ascii="Arial" w:hAnsi="Arial"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sz w:val="28"/>
          <w:szCs w:val="28"/>
          <w:lang w:eastAsia="ru-RU"/>
        </w:rPr>
        <w:t>использования в учебных целях, а также в методических и информационных изданиях.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  <w:t>7.2.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sz w:val="28"/>
          <w:szCs w:val="28"/>
          <w:lang w:eastAsia="ru-RU"/>
        </w:rPr>
        <w:t>Организаторы Конкурса оставляют за собой право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</w:t>
      </w:r>
    </w:p>
    <w:p>
      <w:pPr>
        <w:pStyle w:val="Normal"/>
        <w:shd w:val="clear" w:color="auto" w:fill="FFFFFF"/>
        <w:spacing w:lineRule="auto" w:line="240" w:before="0" w:after="0"/>
        <w:ind w:firstLine="426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Приложение 1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Заявка на участие 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во </w:t>
      </w:r>
      <w:r>
        <w:rPr>
          <w:rFonts w:eastAsia="Times New Roman" w:cs="Arial" w:ascii="Arial" w:hAnsi="Arial"/>
          <w:b/>
          <w:bCs/>
          <w:sz w:val="26"/>
          <w:szCs w:val="26"/>
          <w:lang w:val="en-US" w:eastAsia="ru-RU"/>
        </w:rPr>
        <w:t>III</w:t>
      </w: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 областном конкурсе социальных рекламных проектов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«Шагать по жизни здорово»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Возрастная категория: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Номинация: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Тематика: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sz w:val="26"/>
          <w:szCs w:val="26"/>
          <w:lang w:eastAsia="ru-RU"/>
        </w:rPr>
        <w:t xml:space="preserve">Название работы: </w:t>
      </w:r>
      <w:r>
        <w:rPr>
          <w:rFonts w:eastAsia="Times New Roman" w:cs="Arial" w:ascii="Arial" w:hAnsi="Arial"/>
          <w:sz w:val="26"/>
          <w:szCs w:val="26"/>
          <w:lang w:eastAsia="ru-RU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Ссылка для баннеров страниц ЗОЖ на сайте: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Заполняется для коллективных работ: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Наименование учреждения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Ф.И.О. (полностью) педагога руководителя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Паспортные данные педагога руководителя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: 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СНИЛС педагога руководителя: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Ф.И.О. (полностью) участников: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Заполняется для индивидуальных работ: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Ф.И.О. (полностью) участника: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Паспортные данные участника или представителя: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 xml:space="preserve">СНИЛС участника или представителя: 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Контактная информация: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Телефон: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Домашний/рабочий адрес:</w:t>
      </w:r>
      <w:r>
        <w:rPr>
          <w:rFonts w:eastAsia="Times New Roman" w:cs="Arial" w:ascii="Arial" w:hAnsi="Arial"/>
          <w:bCs/>
          <w:sz w:val="26"/>
          <w:szCs w:val="26"/>
          <w:lang w:eastAsia="ru-RU"/>
        </w:rPr>
        <w:t>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(для награждения)</w:t>
      </w:r>
    </w:p>
    <w:p>
      <w:pPr>
        <w:pStyle w:val="Normal"/>
        <w:shd w:val="clear" w:color="auto" w:fill="FFFFFF"/>
        <w:tabs>
          <w:tab w:val="left" w:pos="5425" w:leader="none"/>
        </w:tabs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sz w:val="26"/>
          <w:szCs w:val="26"/>
          <w:lang w:eastAsia="ru-RU"/>
        </w:rPr>
        <w:t>Дата:                                                      Подпись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участника: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  <w:t>Приложение 2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tbl>
      <w:tblPr>
        <w:tblW w:w="100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6"/>
        <w:gridCol w:w="1640"/>
        <w:gridCol w:w="6067"/>
      </w:tblGrid>
      <w:tr>
        <w:trPr>
          <w:trHeight w:val="272" w:hRule="atLeast"/>
        </w:trPr>
        <w:tc>
          <w:tcPr>
            <w:tcW w:w="4026" w:type="dxa"/>
            <w:gridSpan w:val="2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Я, субъект персональных данных</w:t>
            </w:r>
          </w:p>
        </w:tc>
        <w:tc>
          <w:tcPr>
            <w:tcW w:w="6067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___________________________________________</w:t>
            </w:r>
          </w:p>
        </w:tc>
      </w:tr>
      <w:tr>
        <w:trPr>
          <w:trHeight w:val="188" w:hRule="atLeast"/>
        </w:trPr>
        <w:tc>
          <w:tcPr>
            <w:tcW w:w="4026" w:type="dxa"/>
            <w:gridSpan w:val="2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</w:r>
          </w:p>
        </w:tc>
        <w:tc>
          <w:tcPr>
            <w:tcW w:w="6067" w:type="dxa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cs="Arial" w:ascii="Arial" w:hAnsi="Arial"/>
                <w:sz w:val="20"/>
                <w:szCs w:val="26"/>
              </w:rPr>
              <w:t>(ФИО) (Дата рождения)</w:t>
            </w:r>
          </w:p>
        </w:tc>
      </w:tr>
      <w:tr>
        <w:trPr>
          <w:trHeight w:val="272" w:hRule="atLeast"/>
        </w:trPr>
        <w:tc>
          <w:tcPr>
            <w:tcW w:w="10093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________________________________________________________________________</w:t>
            </w:r>
          </w:p>
        </w:tc>
      </w:tr>
      <w:tr>
        <w:trPr>
          <w:trHeight w:val="399" w:hRule="atLeast"/>
        </w:trPr>
        <w:tc>
          <w:tcPr>
            <w:tcW w:w="2386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Зарегистрирован/а</w:t>
            </w:r>
          </w:p>
        </w:tc>
        <w:tc>
          <w:tcPr>
            <w:tcW w:w="7707" w:type="dxa"/>
            <w:gridSpan w:val="2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_______________________________________________________</w:t>
            </w:r>
          </w:p>
        </w:tc>
      </w:tr>
      <w:tr>
        <w:trPr>
          <w:trHeight w:val="254" w:hRule="atLeast"/>
        </w:trPr>
        <w:tc>
          <w:tcPr>
            <w:tcW w:w="2386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</w:r>
          </w:p>
        </w:tc>
        <w:tc>
          <w:tcPr>
            <w:tcW w:w="7707" w:type="dxa"/>
            <w:gridSpan w:val="2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cs="Arial" w:ascii="Arial" w:hAnsi="Arial"/>
                <w:sz w:val="20"/>
                <w:szCs w:val="26"/>
              </w:rPr>
              <w:t>(адрес)</w:t>
            </w:r>
          </w:p>
        </w:tc>
      </w:tr>
      <w:tr>
        <w:trPr>
          <w:trHeight w:val="272" w:hRule="atLeast"/>
        </w:trPr>
        <w:tc>
          <w:tcPr>
            <w:tcW w:w="10093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__________________________________________________________________________</w:t>
            </w:r>
          </w:p>
        </w:tc>
      </w:tr>
      <w:tr>
        <w:trPr>
          <w:trHeight w:val="237" w:hRule="atLeast"/>
        </w:trPr>
        <w:tc>
          <w:tcPr>
            <w:tcW w:w="10093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cs="Arial" w:ascii="Arial" w:hAnsi="Arial"/>
                <w:sz w:val="20"/>
                <w:szCs w:val="26"/>
              </w:rPr>
              <w:t>(серия и номер документа, удостоверяющего личность, кем выдан)</w:t>
            </w:r>
          </w:p>
        </w:tc>
      </w:tr>
      <w:tr>
        <w:trPr>
          <w:trHeight w:val="436" w:hRule="atLeast"/>
        </w:trPr>
        <w:tc>
          <w:tcPr>
            <w:tcW w:w="10093" w:type="dxa"/>
            <w:gridSpan w:val="3"/>
            <w:tcBorders/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cs="Arial" w:ascii="Arial" w:hAnsi="Arial"/>
                <w:sz w:val="24"/>
                <w:szCs w:val="26"/>
              </w:rPr>
              <w:t>__________________________________________________________________________</w:t>
            </w:r>
          </w:p>
        </w:tc>
      </w:tr>
    </w:tbl>
    <w:p>
      <w:pPr>
        <w:pStyle w:val="Normal"/>
        <w:spacing w:before="0" w:after="0"/>
        <w:rPr>
          <w:sz w:val="12"/>
          <w:szCs w:val="16"/>
        </w:rPr>
      </w:pPr>
      <w:r>
        <w:rPr>
          <w:sz w:val="12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 xml:space="preserve">даю согласие </w:t>
      </w:r>
      <w:r>
        <w:rPr>
          <w:rFonts w:cs="Arial" w:ascii="Arial" w:hAnsi="Arial"/>
          <w:b/>
          <w:u w:val="single"/>
        </w:rPr>
        <w:t>ГАУЗ ТО «Областной центр медицинской профилактики, лечебной физкультуры и спортивной медицины»,</w:t>
      </w:r>
      <w:r>
        <w:rPr>
          <w:rFonts w:cs="Arial" w:ascii="Arial" w:hAnsi="Arial"/>
        </w:rPr>
        <w:t xml:space="preserve"> расположенному по адресу: </w:t>
      </w:r>
      <w:r>
        <w:rPr>
          <w:rFonts w:cs="Arial" w:ascii="Arial" w:hAnsi="Arial"/>
          <w:b/>
          <w:u w:val="single"/>
        </w:rPr>
        <w:t>625026, г. Тюмень, пр. Геологоразведчиков, 13/3,</w:t>
      </w:r>
      <w:r>
        <w:rPr>
          <w:rFonts w:cs="Arial" w:ascii="Arial" w:hAnsi="Arial"/>
        </w:rPr>
        <w:t xml:space="preserve"> на обработку со следующими условиями: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>Согласие дается на обработку следующих моих персональных данных:</w:t>
      </w:r>
      <w:r>
        <w:rPr>
          <w:rFonts w:cs="Arial" w:ascii="Arial" w:hAnsi="Arial"/>
          <w:i/>
          <w:u w:val="single"/>
        </w:rPr>
        <w:t xml:space="preserve"> Фамилия, Имя, Отчество, дата рождения, пол, фотография, контактный телефон, адрес, паспортные данные, номер СНИЛС.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 xml:space="preserve">Следующие персональные данные являются общедоступными: </w:t>
      </w:r>
      <w:r>
        <w:rPr>
          <w:rFonts w:cs="Arial" w:ascii="Arial" w:hAnsi="Arial"/>
          <w:i/>
          <w:u w:val="single"/>
        </w:rPr>
        <w:t>Фамилия, Имя, Отчество, возраст и фотография</w:t>
      </w:r>
      <w:r>
        <w:rPr>
          <w:rFonts w:cs="Arial" w:ascii="Arial" w:hAnsi="Arial"/>
        </w:rPr>
        <w:t>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 xml:space="preserve">Цель обработки персональных данных: </w:t>
      </w:r>
      <w:r>
        <w:rPr>
          <w:rFonts w:cs="Arial" w:ascii="Arial" w:hAnsi="Arial"/>
          <w:i/>
          <w:u w:val="single"/>
        </w:rPr>
        <w:t xml:space="preserve">организация и проведение </w:t>
      </w:r>
      <w:r>
        <w:rPr>
          <w:rFonts w:cs="Arial" w:ascii="Arial" w:hAnsi="Arial"/>
          <w:i/>
          <w:u w:val="single"/>
          <w:lang w:val="en-US"/>
        </w:rPr>
        <w:t>II</w:t>
      </w:r>
      <w:r>
        <w:rPr>
          <w:rFonts w:cs="Arial" w:ascii="Arial" w:hAnsi="Arial"/>
          <w:i/>
          <w:u w:val="single"/>
        </w:rPr>
        <w:t xml:space="preserve"> областного конкурса социальных рекламных проектов «Шагать по жизни здорово», организация награждения победителей, размещение фотоотчета и информации в СМИ.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 xml:space="preserve">В ходе обработки с персональными данными будут совершены следующие действия: </w:t>
      </w:r>
      <w:r>
        <w:rPr>
          <w:rFonts w:cs="Arial" w:ascii="Arial" w:hAnsi="Arial"/>
          <w:i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 xml:space="preserve">Персональные данные обрабатываются до </w:t>
      </w:r>
      <w:r>
        <w:rPr>
          <w:rFonts w:cs="Arial" w:ascii="Arial" w:hAnsi="Arial"/>
          <w:i/>
        </w:rPr>
        <w:t xml:space="preserve">ликвидации </w:t>
      </w:r>
      <w:r>
        <w:rPr>
          <w:rFonts w:cs="Arial" w:ascii="Arial" w:hAnsi="Arial"/>
          <w:b/>
          <w:u w:val="single"/>
        </w:rPr>
        <w:t xml:space="preserve">ГАУЗ ТО «Областной центр медицинской профилактики, лечебной физкультуры и спортивной медицины». </w:t>
      </w:r>
      <w:r>
        <w:rPr>
          <w:rFonts w:cs="Arial" w:ascii="Arial" w:hAnsi="Arial"/>
        </w:rPr>
        <w:t xml:space="preserve">Также обработка персональных данных может быть прекращена по запросу субъекта персональных данных.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>
        <w:rPr>
          <w:rFonts w:cs="Arial" w:ascii="Arial" w:hAnsi="Arial"/>
          <w:b/>
          <w:u w:val="single"/>
        </w:rPr>
        <w:t>ГАУЗ ТО «Областной центр медицинской профилактики, лечебной физкультуры и спортивной медицины»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или его представителя по адресу, указанному в начале данного Согласия.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/>
      </w:pPr>
      <w:r>
        <w:rPr>
          <w:rFonts w:cs="Arial" w:ascii="Arial" w:hAnsi="Arial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>
        <w:rPr>
          <w:rFonts w:cs="Arial" w:ascii="Arial" w:hAnsi="Arial"/>
          <w:b/>
          <w:u w:val="single"/>
        </w:rPr>
        <w:t xml:space="preserve">ГАУЗ ТО «Областной центр медицинской профилактики, лечебной физкультуры и спортивной медицины» </w:t>
      </w:r>
      <w:r>
        <w:rPr>
          <w:rFonts w:cs="Arial" w:ascii="Arial" w:hAnsi="Arial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152-ФЗ «О персональных данных» от 26.06.2006 г.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Настоящее согласие действует все время до момента прекращения обработки персональных данных, указанных в п. 6 и п. 7 данного Согласия.</w:t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Приложение 3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Состав Коллегии жюри</w:t>
      </w:r>
    </w:p>
    <w:tbl>
      <w:tblPr>
        <w:tblW w:w="9570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6059"/>
      </w:tblGrid>
      <w:tr>
        <w:trPr/>
        <w:tc>
          <w:tcPr>
            <w:tcW w:w="9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Председатель: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Новикова Татьяна Сергеевна 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Начальник управления организации медицинской помощи и разработки Территориальной программы государственных гарантий Департамента здравоохранения Тюменской области 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Секретарь: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Малыгина Александра Михайловна 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Пресс-секретарь Департамента здравоохранения Тюменской области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Члены: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Франко Ольга Алексеевна 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Заведующий сектором профилактической медицины Департамента здравоохранения Тюменской области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Департамент здравоохранения Администрации города Тюмени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Департамент по общественным связям, коммуникациям и молодежной политике Тюменской области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Департамент физической культуры, спорта и дополнительного образования Тюменской области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Департамент образования и науки Тюменской области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Департамент культуры Тюменской области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Департамента социального развития Тюменской области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Управление Федеральной службы по надзору в сфере защиты прав </w:t>
            </w:r>
            <w:bookmarkStart w:id="0" w:name="_GoBack"/>
            <w:bookmarkEnd w:id="0"/>
            <w:r>
              <w:rPr>
                <w:rFonts w:cs="Arial" w:ascii="Arial" w:hAnsi="Arial"/>
                <w:sz w:val="28"/>
                <w:szCs w:val="28"/>
              </w:rPr>
              <w:t>потребителей и благополучия человека по Тюменской области (по согласованию)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Ревнивых Ирина Юрьевна 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ГАУЗ ТО «Областной центр медицинской профилактики, лечебной физкультуры и спортивной медицины»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Рейн Виктор Александрович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Депутат Тюменской областной Думы шестого созыва, заместитель председателя Тюменской областной Думы (по согласованию) 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Общественный совет при Департаменте здравоохранения Тюменской области (по согласованию)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Style16" w:customStyle="1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character" w:styleId="ListLabel49">
    <w:name w:val="ListLabel 49"/>
    <w:qFormat/>
    <w:rPr>
      <w:rFonts w:ascii="Arial" w:hAnsi="Arial" w:cs="Aria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V@cmpto.ru" TargetMode="External"/><Relationship Id="rId3" Type="http://schemas.openxmlformats.org/officeDocument/2006/relationships/hyperlink" Target="mailto:LAV@cmpto.ru" TargetMode="External"/><Relationship Id="rId4" Type="http://schemas.openxmlformats.org/officeDocument/2006/relationships/hyperlink" Target="mailto:LAV@cmpto.ru" TargetMode="External"/><Relationship Id="rId5" Type="http://schemas.openxmlformats.org/officeDocument/2006/relationships/hyperlink" Target="mailto:LAV@cmpto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FE83-7D3C-4D46-8D6B-8389FC85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LibreOffice/5.4.5.1$Windows_x86 LibreOffice_project/79c9829dd5d8054ec39a82dc51cd9eff340dbee8</Application>
  <Pages>10</Pages>
  <Words>1857</Words>
  <Characters>14768</Characters>
  <CharactersWithSpaces>16597</CharactersWithSpaces>
  <Paragraphs>159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2018-09-27T05:08:00Z</dcterms:created>
  <dc:creator>Франко  Ольга Алексевна</dc:creator>
  <dc:description/>
  <dc:language>ru-RU</dc:language>
  <cp:lastModifiedBy>Profilaktika7</cp:lastModifiedBy>
  <cp:lastPrinted>2018-09-27T06:52:00Z</cp:lastPrinted>
  <dcterms:modified xsi:type="dcterms:W3CDTF">2018-09-28T04:27:00Z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-237636327</vt:i4>
  </property>
</Properties>
</file>